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8449" w14:textId="77777777" w:rsidR="00AB5986" w:rsidRPr="00C65075" w:rsidRDefault="00AB5986">
      <w:pPr>
        <w:pStyle w:val="Heading2"/>
        <w:rPr>
          <w:rFonts w:asciiTheme="minorHAnsi" w:hAnsiTheme="minorHAnsi" w:cstheme="minorHAnsi"/>
          <w:sz w:val="22"/>
          <w:szCs w:val="22"/>
        </w:rPr>
      </w:pPr>
      <w:r w:rsidRPr="00C65075">
        <w:rPr>
          <w:rFonts w:asciiTheme="minorHAnsi" w:hAnsiTheme="minorHAnsi" w:cstheme="minorHAnsi"/>
          <w:sz w:val="22"/>
          <w:szCs w:val="22"/>
        </w:rPr>
        <w:t xml:space="preserve">Standard university further particulars for the conferment of the title of </w:t>
      </w:r>
      <w:r w:rsidR="00E34C28" w:rsidRPr="00C65075">
        <w:rPr>
          <w:rFonts w:asciiTheme="minorHAnsi" w:hAnsiTheme="minorHAnsi" w:cstheme="minorHAnsi"/>
          <w:sz w:val="22"/>
          <w:szCs w:val="22"/>
        </w:rPr>
        <w:t>Associate Professor</w:t>
      </w:r>
    </w:p>
    <w:p w14:paraId="3BD3AD6D"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The conferment of the title is subject to the relevant provisions of the Statutes and Regulations of the University in force from time to time, as published from time to time in the University Gazette.</w:t>
      </w:r>
    </w:p>
    <w:p w14:paraId="42B0FE52"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may be conferred upon the holder of the college fellowship; the full stipend associated with such a </w:t>
      </w:r>
      <w:r w:rsidR="00E34C28" w:rsidRPr="00C65075">
        <w:rPr>
          <w:rFonts w:asciiTheme="minorHAnsi" w:hAnsiTheme="minorHAnsi" w:cstheme="minorHAnsi"/>
          <w:sz w:val="22"/>
          <w:szCs w:val="22"/>
        </w:rPr>
        <w:t>post</w:t>
      </w:r>
      <w:r w:rsidRPr="00C65075">
        <w:rPr>
          <w:rFonts w:asciiTheme="minorHAnsi" w:hAnsiTheme="minorHAnsi" w:cstheme="minorHAnsi"/>
          <w:sz w:val="22"/>
          <w:szCs w:val="22"/>
        </w:rPr>
        <w:t xml:space="preserve"> will be met by the college. The title may at a later date (though with no commitment to do so) be converted into a stipendiary university post.</w:t>
      </w:r>
    </w:p>
    <w:p w14:paraId="1B1973D2"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It is a condition of holding 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that the individual continues to hold the college teaching posts(s) in association with which the conferment of the title is advertised. In the event of the termination of the college teaching post(s), for whatever reason, the individual will automatically cease to hold the title on the same date as the college teaching post(s) end(s).</w:t>
      </w:r>
    </w:p>
    <w:p w14:paraId="3A7D0593"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The conferment of the title will be for a period of five years in the first instance.</w:t>
      </w:r>
    </w:p>
    <w:p w14:paraId="694B9A69"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No university stipend is payable to the holder of 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If during any period in which the title is held the University is able to fund a stipendiary </w:t>
      </w:r>
      <w:r w:rsidR="00E34C28" w:rsidRPr="00C65075">
        <w:rPr>
          <w:rFonts w:asciiTheme="minorHAnsi" w:hAnsiTheme="minorHAnsi" w:cstheme="minorHAnsi"/>
          <w:sz w:val="22"/>
          <w:szCs w:val="22"/>
        </w:rPr>
        <w:t>post</w:t>
      </w:r>
      <w:r w:rsidRPr="00C65075">
        <w:rPr>
          <w:rFonts w:asciiTheme="minorHAnsi" w:hAnsiTheme="minorHAnsi" w:cstheme="minorHAnsi"/>
          <w:sz w:val="22"/>
          <w:szCs w:val="22"/>
        </w:rPr>
        <w:t xml:space="preserve"> in conjunction with the college teaching post(s), the holder of the title will then be appointed to that </w:t>
      </w:r>
      <w:r w:rsidR="00E34C28" w:rsidRPr="00C65075">
        <w:rPr>
          <w:rFonts w:asciiTheme="minorHAnsi" w:hAnsiTheme="minorHAnsi" w:cstheme="minorHAnsi"/>
          <w:sz w:val="22"/>
          <w:szCs w:val="22"/>
        </w:rPr>
        <w:t>post</w:t>
      </w:r>
      <w:r w:rsidRPr="00C65075">
        <w:rPr>
          <w:rFonts w:asciiTheme="minorHAnsi" w:hAnsiTheme="minorHAnsi" w:cstheme="minorHAnsi"/>
          <w:sz w:val="22"/>
          <w:szCs w:val="22"/>
        </w:rPr>
        <w:t xml:space="preserve"> forthwith and will be required to assume the full duties of a</w:t>
      </w:r>
      <w:r w:rsidR="00E34C28" w:rsidRPr="00C65075">
        <w:rPr>
          <w:rFonts w:asciiTheme="minorHAnsi" w:hAnsiTheme="minorHAnsi" w:cstheme="minorHAnsi"/>
          <w:sz w:val="22"/>
          <w:szCs w:val="22"/>
        </w:rPr>
        <w:t>n associate professor</w:t>
      </w:r>
      <w:r w:rsidRPr="00C65075">
        <w:rPr>
          <w:rFonts w:asciiTheme="minorHAnsi" w:hAnsiTheme="minorHAnsi" w:cstheme="minorHAnsi"/>
          <w:sz w:val="22"/>
          <w:szCs w:val="22"/>
        </w:rPr>
        <w:t xml:space="preserve"> at that point (the current standard further particulars for stipendiary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ships are appended).</w:t>
      </w:r>
    </w:p>
    <w:p w14:paraId="146FAF53"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The duties of the holder of 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are to engage in advanced study or research. It is hoped that holders of the title will undertake some lecturing if asked to do so by the [faculty board/department]. In the first three years of holding the title there will be no requirement to take part in university examining or the supervision of graduate students, but an obligation to do so will exist thereafter.</w:t>
      </w:r>
    </w:p>
    <w:p w14:paraId="1BA5BC53"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i/>
          <w:iCs/>
          <w:sz w:val="22"/>
          <w:szCs w:val="22"/>
        </w:rPr>
        <w:t xml:space="preserve">Arrangements for periods of office where the title of </w:t>
      </w:r>
      <w:r w:rsidR="00E34C28" w:rsidRPr="00C65075">
        <w:rPr>
          <w:rFonts w:asciiTheme="minorHAnsi" w:hAnsiTheme="minorHAnsi" w:cstheme="minorHAnsi"/>
          <w:i/>
          <w:iCs/>
          <w:sz w:val="22"/>
          <w:szCs w:val="22"/>
        </w:rPr>
        <w:t>associate professor</w:t>
      </w:r>
      <w:r w:rsidRPr="00C65075">
        <w:rPr>
          <w:rFonts w:asciiTheme="minorHAnsi" w:hAnsiTheme="minorHAnsi" w:cstheme="minorHAnsi"/>
          <w:i/>
          <w:iCs/>
          <w:sz w:val="22"/>
          <w:szCs w:val="22"/>
        </w:rPr>
        <w:t xml:space="preserve"> is conferred on a college fellow</w:t>
      </w:r>
    </w:p>
    <w:p w14:paraId="40368655" w14:textId="77777777" w:rsidR="00AB5986" w:rsidRPr="00C65075" w:rsidRDefault="00AB5986">
      <w:pPr>
        <w:rPr>
          <w:rFonts w:asciiTheme="minorHAnsi" w:hAnsiTheme="minorHAnsi" w:cstheme="minorHAnsi"/>
          <w:sz w:val="22"/>
          <w:szCs w:val="22"/>
        </w:rPr>
      </w:pPr>
      <w:r w:rsidRPr="00C65075">
        <w:rPr>
          <w:rFonts w:asciiTheme="minorHAnsi" w:hAnsiTheme="minorHAnsi" w:cstheme="minorHAnsi"/>
          <w:sz w:val="22"/>
          <w:szCs w:val="22"/>
        </w:rPr>
        <w:t>(1)</w:t>
      </w:r>
      <w:r w:rsidRPr="00C65075">
        <w:rPr>
          <w:rFonts w:asciiTheme="minorHAnsi" w:hAnsiTheme="minorHAnsi" w:cstheme="minorHAnsi"/>
          <w:sz w:val="22"/>
          <w:szCs w:val="22"/>
        </w:rPr>
        <w:tab/>
        <w:t xml:space="preserve">At the end of the first five-year period of holding the title it will be </w:t>
      </w:r>
      <w:proofErr w:type="spellStart"/>
      <w:r w:rsidRPr="00C65075">
        <w:rPr>
          <w:rFonts w:asciiTheme="minorHAnsi" w:hAnsiTheme="minorHAnsi" w:cstheme="minorHAnsi"/>
          <w:sz w:val="22"/>
          <w:szCs w:val="22"/>
        </w:rPr>
        <w:t>reconferred</w:t>
      </w:r>
      <w:proofErr w:type="spellEnd"/>
      <w:r w:rsidRPr="00C65075">
        <w:rPr>
          <w:rFonts w:asciiTheme="minorHAnsi" w:hAnsiTheme="minorHAnsi" w:cstheme="minorHAnsi"/>
          <w:sz w:val="22"/>
          <w:szCs w:val="22"/>
        </w:rPr>
        <w:t xml:space="preserve"> subject to a satisfactory review of the work undertaken, </w:t>
      </w:r>
      <w:r w:rsidRPr="00C65075">
        <w:rPr>
          <w:rFonts w:asciiTheme="minorHAnsi" w:hAnsiTheme="minorHAnsi" w:cstheme="minorHAnsi"/>
          <w:i/>
          <w:iCs/>
          <w:sz w:val="22"/>
          <w:szCs w:val="22"/>
        </w:rPr>
        <w:t>for as long as the underlying college appointment lasts</w:t>
      </w:r>
      <w:r w:rsidRPr="00C65075">
        <w:rPr>
          <w:rFonts w:asciiTheme="minorHAnsi" w:hAnsiTheme="minorHAnsi" w:cstheme="minorHAnsi"/>
          <w:sz w:val="22"/>
          <w:szCs w:val="22"/>
        </w:rPr>
        <w:t>, or for five years (if this is a shorter period) if no evidence of lecturing competence is available at the time of the review, and subject to the retirement provisions in the attached document.</w:t>
      </w:r>
    </w:p>
    <w:p w14:paraId="06CC3DFA" w14:textId="77777777" w:rsidR="00AB5986" w:rsidRPr="00C65075" w:rsidRDefault="00AB5986">
      <w:pPr>
        <w:rPr>
          <w:rFonts w:asciiTheme="minorHAnsi" w:hAnsiTheme="minorHAnsi" w:cstheme="minorHAnsi"/>
          <w:sz w:val="22"/>
          <w:szCs w:val="22"/>
        </w:rPr>
      </w:pPr>
      <w:r w:rsidRPr="00C65075">
        <w:rPr>
          <w:rFonts w:asciiTheme="minorHAnsi" w:hAnsiTheme="minorHAnsi" w:cstheme="minorHAnsi"/>
          <w:sz w:val="22"/>
          <w:szCs w:val="22"/>
        </w:rPr>
        <w:t>(2)</w:t>
      </w:r>
      <w:r w:rsidRPr="00C65075">
        <w:rPr>
          <w:rFonts w:asciiTheme="minorHAnsi" w:hAnsiTheme="minorHAnsi" w:cstheme="minorHAnsi"/>
          <w:sz w:val="22"/>
          <w:szCs w:val="22"/>
        </w:rPr>
        <w:tab/>
        <w:t xml:space="preserve">If a stipendiary appointment becomes available after an individual has held the title for less than five years, the initial period of office for the stipendiary appointment will be five years less the period for which the title has been held. There will then be a review at the end of the initial period of office, as in (1) above: if this is satisfactory the university appointment will be renewed until </w:t>
      </w:r>
      <w:r w:rsidR="001A71D7" w:rsidRPr="00C65075">
        <w:rPr>
          <w:rFonts w:asciiTheme="minorHAnsi" w:hAnsiTheme="minorHAnsi" w:cstheme="minorHAnsi"/>
          <w:sz w:val="22"/>
          <w:szCs w:val="22"/>
        </w:rPr>
        <w:t>retirement</w:t>
      </w:r>
      <w:r w:rsidRPr="00C65075">
        <w:rPr>
          <w:rFonts w:asciiTheme="minorHAnsi" w:hAnsiTheme="minorHAnsi" w:cstheme="minorHAnsi"/>
          <w:sz w:val="22"/>
          <w:szCs w:val="22"/>
        </w:rPr>
        <w:t xml:space="preserve"> if evidence of lecturing competence is available, on condition that the appointment will end if the college teaching post is terminated.</w:t>
      </w:r>
    </w:p>
    <w:p w14:paraId="64726427" w14:textId="77777777" w:rsidR="00AB5986" w:rsidRPr="00C65075" w:rsidRDefault="00AB5986">
      <w:pPr>
        <w:rPr>
          <w:rFonts w:asciiTheme="minorHAnsi" w:hAnsiTheme="minorHAnsi" w:cstheme="minorHAnsi"/>
          <w:sz w:val="22"/>
          <w:szCs w:val="22"/>
        </w:rPr>
      </w:pPr>
      <w:r w:rsidRPr="00C65075">
        <w:rPr>
          <w:rFonts w:asciiTheme="minorHAnsi" w:hAnsiTheme="minorHAnsi" w:cstheme="minorHAnsi"/>
          <w:sz w:val="22"/>
          <w:szCs w:val="22"/>
        </w:rPr>
        <w:t>(3)</w:t>
      </w:r>
      <w:r w:rsidRPr="00C65075">
        <w:rPr>
          <w:rFonts w:asciiTheme="minorHAnsi" w:hAnsiTheme="minorHAnsi" w:cstheme="minorHAnsi"/>
          <w:sz w:val="22"/>
          <w:szCs w:val="22"/>
        </w:rPr>
        <w:tab/>
        <w:t>If a stipendiary appointment becomes available after an individual has held the title for more than five years, the stipendiary appointment will be conferred without an initial period of office if lecturing competence has been shown during the first five-year period. If it has not, then there will be an initial period of office of five years in the stipendiary post.</w:t>
      </w:r>
    </w:p>
    <w:p w14:paraId="13791F30"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The conferment of the title will be subject to the satisfactory completion of a medical questionnaire.</w:t>
      </w:r>
    </w:p>
    <w:p w14:paraId="26970DAB" w14:textId="77777777" w:rsidR="00416FB5" w:rsidRDefault="001A71D7" w:rsidP="00416FB5">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lastRenderedPageBreak/>
        <w:t xml:space="preserve">Subject to HMRC regulations and the availability of funding, a relocation allowance may be available.  </w:t>
      </w:r>
    </w:p>
    <w:p w14:paraId="48BECB70" w14:textId="0E2E704E" w:rsidR="000755DE" w:rsidRPr="00416FB5" w:rsidRDefault="000755DE" w:rsidP="00416FB5">
      <w:pPr>
        <w:numPr>
          <w:ilvl w:val="0"/>
          <w:numId w:val="22"/>
        </w:numPr>
        <w:rPr>
          <w:rFonts w:asciiTheme="minorHAnsi" w:hAnsiTheme="minorHAnsi" w:cstheme="minorHAnsi"/>
          <w:sz w:val="22"/>
          <w:szCs w:val="22"/>
        </w:rPr>
      </w:pPr>
      <w:r w:rsidRPr="00416FB5">
        <w:rPr>
          <w:rFonts w:asciiTheme="minorHAnsi" w:hAnsiTheme="minorHAnsi" w:cstheme="minorHAnsi"/>
          <w:bCs/>
          <w:iCs/>
          <w:sz w:val="22"/>
          <w:szCs w:val="22"/>
        </w:rPr>
        <w:t xml:space="preserve">The University of Oxford is committed to equal opportunity, and to being a place where everyone belongs and is supported to succeed. We recognise how the diversity of our community enriches our ability to deliver on our academic mission. We welcome applications from individuals from all backgrounds, including those under-represented within higher education. No applicant shall be unlawfully discriminated against on the basis of age, disability, gender reassignment, marriage or civil partnership, pregnancy or maternity, race, religion or belief, sex, or sexual orientation. </w:t>
      </w:r>
    </w:p>
    <w:p w14:paraId="51B78A09" w14:textId="1B2DF209" w:rsidR="00B51C06" w:rsidRPr="00C65075" w:rsidRDefault="000755DE" w:rsidP="00416FB5">
      <w:pPr>
        <w:tabs>
          <w:tab w:val="clear" w:pos="576"/>
        </w:tabs>
        <w:spacing w:after="200"/>
        <w:rPr>
          <w:rFonts w:asciiTheme="minorHAnsi" w:hAnsiTheme="minorHAnsi" w:cstheme="minorHAnsi"/>
          <w:bCs/>
          <w:iCs/>
          <w:sz w:val="22"/>
          <w:szCs w:val="22"/>
        </w:rPr>
      </w:pPr>
      <w:r w:rsidRPr="000755DE">
        <w:rPr>
          <w:rFonts w:asciiTheme="minorHAnsi" w:hAnsiTheme="minorHAnsi" w:cstheme="minorHAnsi"/>
          <w:bCs/>
          <w:iCs/>
          <w:sz w:val="22"/>
          <w:szCs w:val="22"/>
        </w:rPr>
        <w:t>Employment with the University and progression within employment will be determined according to personal merit and the application of criteria related to the duties and conditions of the post. In all cases, the primary consideration will be the ability to perform the job. As stated in the University’s Equality Policy and Equality, Diversity and Inclusion Strategic Plan, our commitment to equality and diversity goes hand in hand with our commitment to academic freedom and free speech.</w:t>
      </w:r>
    </w:p>
    <w:p w14:paraId="240B2DC5" w14:textId="77777777" w:rsidR="00AB5986" w:rsidRPr="00C65075" w:rsidRDefault="00AB5986" w:rsidP="00312AF2">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Attached for information are the standard university further particulars for </w:t>
      </w:r>
      <w:r w:rsidR="00E34C28" w:rsidRPr="00C65075">
        <w:rPr>
          <w:rFonts w:asciiTheme="minorHAnsi" w:hAnsiTheme="minorHAnsi" w:cstheme="minorHAnsi"/>
          <w:sz w:val="22"/>
          <w:szCs w:val="22"/>
        </w:rPr>
        <w:t>associate professorships</w:t>
      </w:r>
      <w:r w:rsidRPr="00C65075">
        <w:rPr>
          <w:rFonts w:asciiTheme="minorHAnsi" w:hAnsiTheme="minorHAnsi" w:cstheme="minorHAnsi"/>
          <w:sz w:val="22"/>
          <w:szCs w:val="22"/>
        </w:rPr>
        <w:t xml:space="preserve">. The provisions concerning remuneration for examining, graduate supervision and administration, relocation expenses and </w:t>
      </w:r>
      <w:r w:rsidR="00E34C28" w:rsidRPr="00C65075">
        <w:rPr>
          <w:rFonts w:asciiTheme="minorHAnsi" w:hAnsiTheme="minorHAnsi" w:cstheme="minorHAnsi"/>
          <w:sz w:val="22"/>
          <w:szCs w:val="22"/>
        </w:rPr>
        <w:t>family support</w:t>
      </w:r>
      <w:r w:rsidRPr="00C65075">
        <w:rPr>
          <w:rFonts w:asciiTheme="minorHAnsi" w:hAnsiTheme="minorHAnsi" w:cstheme="minorHAnsi"/>
          <w:sz w:val="22"/>
          <w:szCs w:val="22"/>
        </w:rPr>
        <w:t xml:space="preserve"> apply also for titular </w:t>
      </w:r>
      <w:r w:rsidR="00E34C28" w:rsidRPr="00C65075">
        <w:rPr>
          <w:rFonts w:asciiTheme="minorHAnsi" w:hAnsiTheme="minorHAnsi" w:cstheme="minorHAnsi"/>
          <w:sz w:val="22"/>
          <w:szCs w:val="22"/>
        </w:rPr>
        <w:t>associate professors</w:t>
      </w:r>
      <w:r w:rsidRPr="00C65075">
        <w:rPr>
          <w:rFonts w:asciiTheme="minorHAnsi" w:hAnsiTheme="minorHAnsi" w:cstheme="minorHAnsi"/>
          <w:sz w:val="22"/>
          <w:szCs w:val="22"/>
        </w:rPr>
        <w:t>.</w:t>
      </w:r>
    </w:p>
    <w:p w14:paraId="5BE7B050" w14:textId="77777777" w:rsidR="00AB5986" w:rsidRPr="00C65075" w:rsidRDefault="00AB5986">
      <w:pPr>
        <w:rPr>
          <w:rFonts w:asciiTheme="minorHAnsi" w:hAnsiTheme="minorHAnsi" w:cstheme="minorHAnsi"/>
        </w:rPr>
      </w:pPr>
    </w:p>
    <w:sectPr w:rsidR="00AB5986" w:rsidRPr="00C65075" w:rsidSect="00D66E62">
      <w:footerReference w:type="default" r:id="rId8"/>
      <w:footnotePr>
        <w:numRestart w:val="eachPage"/>
      </w:footnotePr>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2E17" w14:textId="77777777" w:rsidR="00EC3260" w:rsidRDefault="00EC3260" w:rsidP="00AB5986">
      <w:pPr>
        <w:spacing w:after="0"/>
      </w:pPr>
      <w:r>
        <w:separator/>
      </w:r>
    </w:p>
  </w:endnote>
  <w:endnote w:type="continuationSeparator" w:id="0">
    <w:p w14:paraId="2DFF2E29" w14:textId="77777777" w:rsidR="00EC3260" w:rsidRDefault="00EC3260" w:rsidP="00AB5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CE87" w14:textId="5CABC167" w:rsidR="00AB5986" w:rsidRDefault="00CA6CFA">
    <w:pPr>
      <w:pStyle w:val="Footer"/>
    </w:pPr>
    <w:r>
      <w:fldChar w:fldCharType="begin"/>
    </w:r>
    <w:r>
      <w:instrText xml:space="preserve"> PAGE  \* MERGEFORMAT </w:instrText>
    </w:r>
    <w:r>
      <w:fldChar w:fldCharType="separate"/>
    </w:r>
    <w:r w:rsidR="000D22AB">
      <w:rPr>
        <w:noProof/>
      </w:rPr>
      <w:t>1</w:t>
    </w:r>
    <w:r>
      <w:rPr>
        <w:noProof/>
      </w:rPr>
      <w:fldChar w:fldCharType="end"/>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Pr>
        <w:noProof/>
      </w:rPr>
      <w:tab/>
    </w:r>
    <w:r w:rsidR="00992D1E" w:rsidRPr="00992D1E">
      <w:rPr>
        <w:rFonts w:asciiTheme="minorHAnsi" w:hAnsiTheme="minorHAnsi" w:cstheme="minorHAnsi"/>
        <w:noProof/>
        <w:sz w:val="20"/>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A79C" w14:textId="77777777" w:rsidR="00EC3260" w:rsidRDefault="00EC3260">
      <w:pPr>
        <w:pStyle w:val="FootnoteSeparator"/>
      </w:pPr>
    </w:p>
  </w:footnote>
  <w:footnote w:type="continuationSeparator" w:id="0">
    <w:p w14:paraId="1CB07BEA" w14:textId="77777777" w:rsidR="00EC3260" w:rsidRDefault="00EC3260">
      <w:pPr>
        <w:pStyle w:val="FootnoteSeparator"/>
      </w:pPr>
    </w:p>
  </w:footnote>
  <w:footnote w:type="continuationNotice" w:id="1">
    <w:p w14:paraId="2BA8CE6C" w14:textId="77777777" w:rsidR="00EC3260" w:rsidRDefault="00EC3260">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7D3"/>
    <w:multiLevelType w:val="multilevel"/>
    <w:tmpl w:val="2A8ECD20"/>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 w15:restartNumberingAfterBreak="0">
    <w:nsid w:val="08E27ACD"/>
    <w:multiLevelType w:val="multilevel"/>
    <w:tmpl w:val="2A8ECD20"/>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4800E3"/>
    <w:multiLevelType w:val="multilevel"/>
    <w:tmpl w:val="2A8ECD20"/>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2"/>
  </w:num>
  <w:num w:numId="9">
    <w:abstractNumId w:val="13"/>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4"/>
  </w:num>
  <w:num w:numId="22">
    <w:abstractNumId w:val="1"/>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576"/>
  <w:drawingGridHorizontalSpacing w:val="120"/>
  <w:displayHorizontalDrawingGridEvery w:val="2"/>
  <w:displayVerticalDrawingGridEvery w:val="2"/>
  <w:noPunctuationKerning/>
  <w:characterSpacingControl w:val="doNotCompres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77"/>
    <w:rsid w:val="00053EE6"/>
    <w:rsid w:val="000755DE"/>
    <w:rsid w:val="000A2A31"/>
    <w:rsid w:val="000D22AB"/>
    <w:rsid w:val="00167B0F"/>
    <w:rsid w:val="001A71D7"/>
    <w:rsid w:val="00312AF2"/>
    <w:rsid w:val="00416FB5"/>
    <w:rsid w:val="004943C5"/>
    <w:rsid w:val="004E75B2"/>
    <w:rsid w:val="00550F01"/>
    <w:rsid w:val="005A289F"/>
    <w:rsid w:val="007E4663"/>
    <w:rsid w:val="00992D1E"/>
    <w:rsid w:val="009A1373"/>
    <w:rsid w:val="00AB5986"/>
    <w:rsid w:val="00B51C06"/>
    <w:rsid w:val="00B9068E"/>
    <w:rsid w:val="00C65075"/>
    <w:rsid w:val="00CA6CFA"/>
    <w:rsid w:val="00D3717A"/>
    <w:rsid w:val="00D63A77"/>
    <w:rsid w:val="00D66E62"/>
    <w:rsid w:val="00E34C28"/>
    <w:rsid w:val="00E46C10"/>
    <w:rsid w:val="00EC3260"/>
    <w:rsid w:val="00F50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3218F"/>
  <w15:docId w15:val="{8BEBD199-8F65-4FF1-B527-4C51C80C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62"/>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D66E62"/>
    <w:pPr>
      <w:keepNext/>
      <w:spacing w:before="360" w:after="120"/>
      <w:jc w:val="left"/>
      <w:outlineLvl w:val="0"/>
    </w:pPr>
    <w:rPr>
      <w:rFonts w:cs="Arial"/>
      <w:b/>
      <w:bCs/>
      <w:caps/>
      <w:kern w:val="32"/>
      <w:szCs w:val="32"/>
    </w:rPr>
  </w:style>
  <w:style w:type="paragraph" w:styleId="Heading2">
    <w:name w:val="heading 2"/>
    <w:basedOn w:val="Normal"/>
    <w:next w:val="Normal"/>
    <w:qFormat/>
    <w:rsid w:val="00D66E62"/>
    <w:pPr>
      <w:keepNext/>
      <w:spacing w:before="240" w:after="120"/>
      <w:jc w:val="left"/>
      <w:outlineLvl w:val="1"/>
    </w:pPr>
    <w:rPr>
      <w:rFonts w:cs="Arial"/>
      <w:b/>
      <w:bCs/>
      <w:iCs/>
      <w:szCs w:val="28"/>
    </w:rPr>
  </w:style>
  <w:style w:type="paragraph" w:styleId="Heading3">
    <w:name w:val="heading 3"/>
    <w:basedOn w:val="Normal"/>
    <w:next w:val="Normal"/>
    <w:qFormat/>
    <w:rsid w:val="00D66E62"/>
    <w:pPr>
      <w:keepNext/>
      <w:spacing w:before="240" w:after="120"/>
      <w:jc w:val="left"/>
      <w:outlineLvl w:val="2"/>
    </w:pPr>
    <w:rPr>
      <w:rFonts w:cs="Arial"/>
      <w:bCs/>
      <w:i/>
      <w:szCs w:val="26"/>
    </w:rPr>
  </w:style>
  <w:style w:type="paragraph" w:styleId="Heading4">
    <w:name w:val="heading 4"/>
    <w:basedOn w:val="Normal"/>
    <w:next w:val="Normal"/>
    <w:qFormat/>
    <w:rsid w:val="00D66E62"/>
    <w:pPr>
      <w:keepNext/>
      <w:spacing w:before="240" w:after="60"/>
      <w:jc w:val="left"/>
      <w:outlineLvl w:val="3"/>
    </w:pPr>
    <w:rPr>
      <w:b/>
      <w:bCs/>
      <w:sz w:val="28"/>
      <w:szCs w:val="28"/>
    </w:rPr>
  </w:style>
  <w:style w:type="paragraph" w:styleId="Heading5">
    <w:name w:val="heading 5"/>
    <w:basedOn w:val="Normal"/>
    <w:next w:val="Normal"/>
    <w:qFormat/>
    <w:rsid w:val="00D66E62"/>
    <w:pPr>
      <w:spacing w:before="240" w:after="60"/>
      <w:jc w:val="left"/>
      <w:outlineLvl w:val="4"/>
    </w:pPr>
    <w:rPr>
      <w:b/>
      <w:bCs/>
      <w:i/>
      <w:iCs/>
      <w:sz w:val="26"/>
      <w:szCs w:val="26"/>
    </w:rPr>
  </w:style>
  <w:style w:type="paragraph" w:styleId="Heading6">
    <w:name w:val="heading 6"/>
    <w:basedOn w:val="Normal"/>
    <w:next w:val="Normal"/>
    <w:qFormat/>
    <w:rsid w:val="00D66E62"/>
    <w:pPr>
      <w:spacing w:before="240" w:after="60"/>
      <w:jc w:val="left"/>
      <w:outlineLvl w:val="5"/>
    </w:pPr>
    <w:rPr>
      <w:b/>
      <w:bCs/>
      <w:sz w:val="22"/>
      <w:szCs w:val="22"/>
    </w:rPr>
  </w:style>
  <w:style w:type="paragraph" w:styleId="Heading7">
    <w:name w:val="heading 7"/>
    <w:basedOn w:val="Normal"/>
    <w:next w:val="Normal"/>
    <w:qFormat/>
    <w:rsid w:val="00D66E62"/>
    <w:pPr>
      <w:spacing w:before="240" w:after="60"/>
      <w:jc w:val="left"/>
      <w:outlineLvl w:val="6"/>
    </w:pPr>
  </w:style>
  <w:style w:type="paragraph" w:styleId="Heading8">
    <w:name w:val="heading 8"/>
    <w:basedOn w:val="Normal"/>
    <w:next w:val="Normal"/>
    <w:qFormat/>
    <w:rsid w:val="00D66E62"/>
    <w:pPr>
      <w:spacing w:before="240" w:after="60"/>
      <w:jc w:val="left"/>
      <w:outlineLvl w:val="7"/>
    </w:pPr>
    <w:rPr>
      <w:i/>
      <w:iCs/>
    </w:rPr>
  </w:style>
  <w:style w:type="paragraph" w:styleId="Heading9">
    <w:name w:val="heading 9"/>
    <w:basedOn w:val="Normal"/>
    <w:next w:val="Normal"/>
    <w:qFormat/>
    <w:rsid w:val="00D66E62"/>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1D7"/>
    <w:rPr>
      <w:color w:val="0000FF"/>
      <w:u w:val="single"/>
    </w:rPr>
  </w:style>
  <w:style w:type="paragraph" w:customStyle="1" w:styleId="Hidden">
    <w:name w:val="Hidden"/>
    <w:basedOn w:val="Normal"/>
    <w:rsid w:val="00D66E62"/>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rsid w:val="00D66E62"/>
    <w:pPr>
      <w:tabs>
        <w:tab w:val="clear" w:pos="576"/>
        <w:tab w:val="clear" w:pos="1152"/>
        <w:tab w:val="clear" w:pos="1728"/>
        <w:tab w:val="clear" w:pos="5760"/>
        <w:tab w:val="clear" w:pos="9029"/>
      </w:tabs>
      <w:jc w:val="center"/>
    </w:pPr>
  </w:style>
  <w:style w:type="paragraph" w:styleId="Footer">
    <w:name w:val="footer"/>
    <w:basedOn w:val="Normal"/>
    <w:semiHidden/>
    <w:rsid w:val="00D66E62"/>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rsid w:val="00D66E62"/>
  </w:style>
  <w:style w:type="paragraph" w:styleId="FootnoteText">
    <w:name w:val="footnote text"/>
    <w:basedOn w:val="Normal"/>
    <w:semiHidden/>
    <w:rsid w:val="00D66E62"/>
    <w:pPr>
      <w:spacing w:after="80" w:line="200" w:lineRule="exact"/>
      <w:ind w:firstLine="288"/>
    </w:pPr>
    <w:rPr>
      <w:sz w:val="19"/>
      <w:szCs w:val="20"/>
    </w:rPr>
  </w:style>
  <w:style w:type="character" w:styleId="FootnoteReference">
    <w:name w:val="footnote reference"/>
    <w:basedOn w:val="DefaultParagraphFont"/>
    <w:semiHidden/>
    <w:rsid w:val="00D66E62"/>
    <w:rPr>
      <w:vertAlign w:val="superscript"/>
    </w:rPr>
  </w:style>
  <w:style w:type="paragraph" w:styleId="NoteHeading">
    <w:name w:val="Note Heading"/>
    <w:basedOn w:val="Normal"/>
    <w:next w:val="Normal"/>
    <w:semiHidden/>
    <w:rsid w:val="00D66E62"/>
    <w:pPr>
      <w:numPr>
        <w:numId w:val="21"/>
      </w:numPr>
    </w:pPr>
    <w:rPr>
      <w:color w:val="FF0000"/>
    </w:rPr>
  </w:style>
  <w:style w:type="paragraph" w:styleId="Signature">
    <w:name w:val="Signature"/>
    <w:basedOn w:val="Normal"/>
    <w:semiHidden/>
    <w:rsid w:val="00D66E62"/>
    <w:pPr>
      <w:spacing w:after="0"/>
      <w:ind w:left="3888"/>
      <w:jc w:val="left"/>
    </w:pPr>
  </w:style>
  <w:style w:type="paragraph" w:styleId="Title">
    <w:name w:val="Title"/>
    <w:basedOn w:val="Normal"/>
    <w:next w:val="Normal"/>
    <w:qFormat/>
    <w:rsid w:val="00D66E62"/>
    <w:pPr>
      <w:jc w:val="center"/>
      <w:outlineLvl w:val="0"/>
    </w:pPr>
    <w:rPr>
      <w:rFonts w:cs="Arial"/>
      <w:b/>
      <w:bCs/>
      <w:kern w:val="28"/>
      <w:szCs w:val="32"/>
    </w:rPr>
  </w:style>
  <w:style w:type="paragraph" w:customStyle="1" w:styleId="LetterAddress">
    <w:name w:val="Letter Address"/>
    <w:basedOn w:val="Normal"/>
    <w:rsid w:val="00D66E62"/>
    <w:pPr>
      <w:spacing w:after="280"/>
      <w:jc w:val="left"/>
    </w:pPr>
    <w:rPr>
      <w:sz w:val="22"/>
      <w:szCs w:val="22"/>
    </w:rPr>
  </w:style>
  <w:style w:type="paragraph" w:customStyle="1" w:styleId="LetterFooter">
    <w:name w:val="Letter Footer"/>
    <w:basedOn w:val="Footer"/>
    <w:rsid w:val="00D66E62"/>
    <w:rPr>
      <w:sz w:val="18"/>
      <w:szCs w:val="18"/>
    </w:rPr>
  </w:style>
  <w:style w:type="paragraph" w:customStyle="1" w:styleId="LetterFrom">
    <w:name w:val="Letter From"/>
    <w:basedOn w:val="Normal"/>
    <w:rsid w:val="00D66E62"/>
    <w:pPr>
      <w:spacing w:after="840"/>
      <w:jc w:val="left"/>
    </w:pPr>
    <w:rPr>
      <w:sz w:val="22"/>
      <w:szCs w:val="22"/>
    </w:rPr>
  </w:style>
  <w:style w:type="paragraph" w:styleId="Salutation">
    <w:name w:val="Salutation"/>
    <w:basedOn w:val="Normal"/>
    <w:next w:val="Normal"/>
    <w:semiHidden/>
    <w:rsid w:val="00D66E62"/>
    <w:pPr>
      <w:spacing w:before="240"/>
      <w:jc w:val="left"/>
    </w:pPr>
  </w:style>
  <w:style w:type="paragraph" w:styleId="EnvelopeAddress">
    <w:name w:val="envelope address"/>
    <w:basedOn w:val="Normal"/>
    <w:semiHidden/>
    <w:rsid w:val="00D66E62"/>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D66E62"/>
    <w:pPr>
      <w:spacing w:after="0"/>
      <w:ind w:left="144" w:hanging="144"/>
      <w:jc w:val="left"/>
    </w:pPr>
  </w:style>
  <w:style w:type="paragraph" w:styleId="EnvelopeReturn">
    <w:name w:val="envelope return"/>
    <w:basedOn w:val="Normal"/>
    <w:semiHidden/>
    <w:rsid w:val="00D66E62"/>
    <w:pPr>
      <w:spacing w:after="0"/>
      <w:jc w:val="left"/>
    </w:pPr>
    <w:rPr>
      <w:rFonts w:cs="Arial"/>
      <w:sz w:val="20"/>
      <w:szCs w:val="20"/>
    </w:rPr>
  </w:style>
  <w:style w:type="character" w:customStyle="1" w:styleId="TickBox">
    <w:name w:val="TickBox"/>
    <w:basedOn w:val="DefaultParagraphFont"/>
    <w:rsid w:val="00D66E62"/>
  </w:style>
  <w:style w:type="character" w:styleId="FollowedHyperlink">
    <w:name w:val="FollowedHyperlink"/>
    <w:basedOn w:val="DefaultParagraphFont"/>
    <w:uiPriority w:val="99"/>
    <w:semiHidden/>
    <w:unhideWhenUsed/>
    <w:rsid w:val="001A71D7"/>
    <w:rPr>
      <w:color w:val="800080"/>
      <w:u w:val="single"/>
    </w:rPr>
  </w:style>
  <w:style w:type="paragraph" w:customStyle="1" w:styleId="FootnoteSeparator">
    <w:name w:val="Footnote Separator"/>
    <w:basedOn w:val="FootnoteText"/>
    <w:rsid w:val="00D66E62"/>
    <w:pPr>
      <w:spacing w:after="0" w:line="240" w:lineRule="auto"/>
      <w:ind w:firstLine="0"/>
      <w:jc w:val="left"/>
    </w:pPr>
  </w:style>
  <w:style w:type="paragraph" w:styleId="PlainText">
    <w:name w:val="Plain Text"/>
    <w:basedOn w:val="Normal"/>
    <w:semiHidden/>
    <w:rsid w:val="00D66E62"/>
    <w:pPr>
      <w:spacing w:after="0"/>
      <w:jc w:val="left"/>
    </w:pPr>
    <w:rPr>
      <w:rFonts w:ascii="Courier New" w:hAnsi="Courier New" w:cs="Courier New"/>
      <w:sz w:val="20"/>
      <w:szCs w:val="20"/>
    </w:rPr>
  </w:style>
  <w:style w:type="paragraph" w:styleId="ListParagraph">
    <w:name w:val="List Paragraph"/>
    <w:basedOn w:val="Normal"/>
    <w:uiPriority w:val="34"/>
    <w:qFormat/>
    <w:rsid w:val="00CA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086D-3A83-429E-B954-E98FDA69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811</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Standard university further particulars for the conferment of the title of CUF lecturer</vt:lpstr>
    </vt:vector>
  </TitlesOfParts>
  <Company>University of Oxford</Company>
  <LinksUpToDate>false</LinksUpToDate>
  <CharactersWithSpaces>4966</CharactersWithSpaces>
  <SharedDoc>false</SharedDoc>
  <HLinks>
    <vt:vector size="6" baseType="variant">
      <vt:variant>
        <vt:i4>5701650</vt:i4>
      </vt:variant>
      <vt:variant>
        <vt:i4>0</vt:i4>
      </vt:variant>
      <vt:variant>
        <vt:i4>0</vt:i4>
      </vt:variant>
      <vt:variant>
        <vt:i4>5</vt:i4>
      </vt:variant>
      <vt:variant>
        <vt:lpwstr>http://www.admin.ox.ac.uk/finance/expenses/relocationscheme/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university further particulars for the conferment of the title of CUF lecturer</dc:title>
  <dc:creator>algc</dc:creator>
  <cp:lastModifiedBy>Anita Paterson</cp:lastModifiedBy>
  <cp:revision>12</cp:revision>
  <cp:lastPrinted>2003-04-29T10:31:00Z</cp:lastPrinted>
  <dcterms:created xsi:type="dcterms:W3CDTF">2023-11-30T09:31:00Z</dcterms:created>
  <dcterms:modified xsi:type="dcterms:W3CDTF">2026-04-30T08:43:00Z</dcterms:modified>
</cp:coreProperties>
</file>